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80"/>
        <w:jc w:val="right"/>
      </w:pPr>
      <w:r>
        <w:rPr>
          <w:rFonts w:ascii="Arial" w:hAnsi="Arial" w:cs="Arial"/>
          <w:b/>
          <w:color w:val="1F3864"/>
          <w:sz w:val="40"/>
        </w:rPr>
        <w:t>مواصفات الإنارة الجيدة</w:t>
      </w:r>
    </w:p>
    <w:p>
      <w:pPr>
        <w:bidi/>
        <w:spacing w:after="40"/>
        <w:jc w:val="right"/>
      </w:pPr>
      <w:r>
        <w:rPr>
          <w:rFonts w:ascii="Arial" w:hAnsi="Arial" w:cs="Arial"/>
          <w:b/>
          <w:sz w:val="24"/>
        </w:rPr>
        <w:t>مشروع توزيع وتخطيط الإنارة — ولاية صحم / محافظة شمال الباطنة</w:t>
      </w:r>
    </w:p>
    <w:p>
      <w:pPr>
        <w:bidi/>
        <w:spacing w:after="360"/>
        <w:jc w:val="right"/>
      </w:pPr>
      <w:r>
        <w:rPr>
          <w:rFonts w:ascii="Arial" w:hAnsi="Arial" w:cs="Arial"/>
          <w:b w:val="0"/>
          <w:sz w:val="20"/>
        </w:rPr>
        <w:t>مسودة أولى للمراجعة والاعتماد — أكتوبر 2026</w:t>
      </w:r>
    </w:p>
    <w:p>
      <w:pPr>
        <w:bidi/>
        <w:spacing w:after="160"/>
        <w:jc w:val="right"/>
        <w:pBdr>
          <w:bottom w:val="single" w:sz="8" w:color="1F3864"/>
        </w:pBdr>
      </w:pPr>
      <w:r>
        <w:rPr>
          <w:rFonts w:ascii="Arial" w:hAnsi="Arial" w:cs="Arial"/>
          <w:b/>
          <w:color w:val="1F3864"/>
          <w:sz w:val="28"/>
        </w:rPr>
        <w:t>1. الغرض والنطاق</w:t>
      </w:r>
    </w:p>
    <w:p>
      <w:pPr>
        <w:bidi/>
        <w:spacing w:after="120"/>
        <w:jc w:val="right"/>
      </w:pPr>
      <w:r>
        <w:rPr>
          <w:rFonts w:ascii="Arial" w:hAnsi="Arial" w:cs="Arial"/>
          <w:b w:val="0"/>
          <w:sz w:val="22"/>
        </w:rPr>
        <w:t>يهدف هذا المستند إلى تحديد الحد الأدنى من المواصفات الفنية التي يجب أن تتوفر في أعمدة الإنارة والكشافات والملحقات المستخدمة في مشاريع إنارة الطرق والمناطق التابعة لولاية صحم، بما يضمن كفاءة الإضاءة، وسلامة المستخدمين، وخفض استهلاك الطاقة، وسهولة الصيانة على المدى الطويل.</w:t>
      </w:r>
    </w:p>
    <w:p>
      <w:pPr>
        <w:bidi/>
        <w:spacing w:after="120"/>
        <w:jc w:val="right"/>
      </w:pPr>
      <w:r>
        <w:rPr>
          <w:rFonts w:ascii="Arial" w:hAnsi="Arial" w:cs="Arial"/>
          <w:b w:val="0"/>
          <w:sz w:val="22"/>
        </w:rPr>
        <w:t>تنطبق هذه المواصفات على الإنارة الجديدة، وعلى أعمال الإحلال والتحديث للإنارة القائمة، ويُشترط أن يقدّم المقاول شهادات مطابقة معتمدة لكل بند قبل التوريد.</w:t>
      </w:r>
    </w:p>
    <w:p>
      <w:pPr>
        <w:bidi/>
        <w:spacing w:after="120"/>
        <w:jc w:val="right"/>
      </w:pPr>
      <w:r>
        <w:rPr>
          <w:rFonts w:ascii="Arial" w:hAnsi="Arial" w:cs="Arial"/>
          <w:b/>
          <w:color w:val="C00000"/>
          <w:sz w:val="20"/>
        </w:rPr>
        <w:t>تنبيه: هذا المستند مسودة استرشادية مبنية على معايير فنية دولية متعارف عليها، ويلزم مطابقتها مع المواصفات الرسمية المعتمدة من البلدية قبل الاعتماد النهائي أو الإحالة.</w:t>
      </w:r>
    </w:p>
    <w:p>
      <w:pPr>
        <w:bidi/>
        <w:spacing w:after="160"/>
        <w:jc w:val="right"/>
        <w:pBdr>
          <w:bottom w:val="single" w:sz="8" w:color="1F3864"/>
        </w:pBdr>
      </w:pPr>
      <w:r>
        <w:rPr>
          <w:rFonts w:ascii="Arial" w:hAnsi="Arial" w:cs="Arial"/>
          <w:b/>
          <w:color w:val="1F3864"/>
          <w:sz w:val="28"/>
        </w:rPr>
        <w:t>2. المرجعيات الفنية</w:t>
      </w:r>
    </w:p>
    <w:tbl>
      <w:tblPr>
        <w:tblStyle w:val="TableGrid"/>
        <w:tblW w:type="auto" w:w="0"/>
        <w:jc w:val="center"/>
        <w:tblLook w:firstColumn="1" w:firstRow="1" w:lastColumn="0" w:lastRow="0" w:noHBand="0" w:noVBand="1" w:val="04A0"/>
      </w:tblPr>
      <w:tblGrid>
        <w:gridCol w:w="4986"/>
        <w:gridCol w:w="4986"/>
      </w:tblGrid>
      <w:tr>
        <w:tc>
          <w:tcPr>
            <w:tcW w:type="dxa" w:w="2835"/>
            <w:shd w:fill="2E75B6"/>
          </w:tcPr>
          <w:p>
            <w:pPr>
              <w:bidi/>
              <w:jc w:val="right"/>
            </w:pPr>
            <w:r/>
            <w:r>
              <w:rPr>
                <w:rFonts w:ascii="Arial" w:hAnsi="Arial" w:cs="Arial"/>
                <w:b/>
                <w:color w:val="FFFFFF"/>
                <w:sz w:val="20"/>
              </w:rPr>
              <w:t>المرجع</w:t>
            </w:r>
          </w:p>
        </w:tc>
        <w:tc>
          <w:tcPr>
            <w:tcW w:type="dxa" w:w="6236"/>
            <w:shd w:fill="2E75B6"/>
          </w:tcPr>
          <w:p>
            <w:pPr>
              <w:bidi/>
              <w:jc w:val="right"/>
            </w:pPr>
            <w:r/>
            <w:r>
              <w:rPr>
                <w:rFonts w:ascii="Arial" w:hAnsi="Arial" w:cs="Arial"/>
                <w:b/>
                <w:color w:val="FFFFFF"/>
                <w:sz w:val="20"/>
              </w:rPr>
              <w:t>المجال</w:t>
            </w:r>
          </w:p>
        </w:tc>
      </w:tr>
      <w:tr>
        <w:tc>
          <w:tcPr>
            <w:tcW w:type="dxa" w:w="2835"/>
          </w:tcPr>
          <w:p>
            <w:pPr>
              <w:bidi/>
              <w:jc w:val="right"/>
            </w:pPr>
            <w:r/>
            <w:r>
              <w:rPr>
                <w:rFonts w:ascii="Arial" w:hAnsi="Arial" w:cs="Arial"/>
                <w:sz w:val="20"/>
              </w:rPr>
              <w:t>CIE 115</w:t>
            </w:r>
          </w:p>
        </w:tc>
        <w:tc>
          <w:tcPr>
            <w:tcW w:type="dxa" w:w="6236"/>
          </w:tcPr>
          <w:p>
            <w:pPr>
              <w:bidi/>
              <w:jc w:val="right"/>
            </w:pPr>
            <w:r/>
            <w:r>
              <w:rPr>
                <w:rFonts w:ascii="Arial" w:hAnsi="Arial" w:cs="Arial"/>
                <w:sz w:val="20"/>
              </w:rPr>
              <w:t>إضاءة الطرق للمشاة والمركبات — معايير الأداء</w:t>
            </w:r>
          </w:p>
        </w:tc>
      </w:tr>
      <w:tr>
        <w:tc>
          <w:tcPr>
            <w:tcW w:type="dxa" w:w="2835"/>
          </w:tcPr>
          <w:p>
            <w:pPr>
              <w:bidi/>
              <w:jc w:val="right"/>
            </w:pPr>
            <w:r/>
            <w:r>
              <w:rPr>
                <w:rFonts w:ascii="Arial" w:hAnsi="Arial" w:cs="Arial"/>
                <w:sz w:val="20"/>
              </w:rPr>
              <w:t>EN 13201 (1-5)</w:t>
            </w:r>
          </w:p>
        </w:tc>
        <w:tc>
          <w:tcPr>
            <w:tcW w:type="dxa" w:w="6236"/>
          </w:tcPr>
          <w:p>
            <w:pPr>
              <w:bidi/>
              <w:jc w:val="right"/>
            </w:pPr>
            <w:r/>
            <w:r>
              <w:rPr>
                <w:rFonts w:ascii="Arial" w:hAnsi="Arial" w:cs="Arial"/>
                <w:sz w:val="20"/>
              </w:rPr>
              <w:t>تصنيفات الطرق وأداء الإضاءة وطرق القياس</w:t>
            </w:r>
          </w:p>
        </w:tc>
      </w:tr>
      <w:tr>
        <w:tc>
          <w:tcPr>
            <w:tcW w:type="dxa" w:w="2835"/>
          </w:tcPr>
          <w:p>
            <w:pPr>
              <w:bidi/>
              <w:jc w:val="right"/>
            </w:pPr>
            <w:r/>
            <w:r>
              <w:rPr>
                <w:rFonts w:ascii="Arial" w:hAnsi="Arial" w:cs="Arial"/>
                <w:sz w:val="20"/>
              </w:rPr>
              <w:t>IEC 60598 / IEC 60529</w:t>
            </w:r>
          </w:p>
        </w:tc>
        <w:tc>
          <w:tcPr>
            <w:tcW w:type="dxa" w:w="6236"/>
          </w:tcPr>
          <w:p>
            <w:pPr>
              <w:bidi/>
              <w:jc w:val="right"/>
            </w:pPr>
            <w:r/>
            <w:r>
              <w:rPr>
                <w:rFonts w:ascii="Arial" w:hAnsi="Arial" w:cs="Arial"/>
                <w:sz w:val="20"/>
              </w:rPr>
              <w:t>سلامة وحدات الإنارة ودرجات الحماية IP</w:t>
            </w:r>
          </w:p>
        </w:tc>
      </w:tr>
      <w:tr>
        <w:tc>
          <w:tcPr>
            <w:tcW w:type="dxa" w:w="2835"/>
          </w:tcPr>
          <w:p>
            <w:pPr>
              <w:bidi/>
              <w:jc w:val="right"/>
            </w:pPr>
            <w:r/>
            <w:r>
              <w:rPr>
                <w:rFonts w:ascii="Arial" w:hAnsi="Arial" w:cs="Arial"/>
                <w:sz w:val="20"/>
              </w:rPr>
              <w:t>IEC 62717 / IEC 62722</w:t>
            </w:r>
          </w:p>
        </w:tc>
        <w:tc>
          <w:tcPr>
            <w:tcW w:type="dxa" w:w="6236"/>
          </w:tcPr>
          <w:p>
            <w:pPr>
              <w:bidi/>
              <w:jc w:val="right"/>
            </w:pPr>
            <w:r/>
            <w:r>
              <w:rPr>
                <w:rFonts w:ascii="Arial" w:hAnsi="Arial" w:cs="Arial"/>
                <w:sz w:val="20"/>
              </w:rPr>
              <w:t>أداء كشافات LED وثبات التدفق الضوئي</w:t>
            </w:r>
          </w:p>
        </w:tc>
      </w:tr>
      <w:tr>
        <w:tc>
          <w:tcPr>
            <w:tcW w:type="dxa" w:w="2835"/>
          </w:tcPr>
          <w:p>
            <w:pPr>
              <w:bidi/>
              <w:jc w:val="right"/>
            </w:pPr>
            <w:r/>
            <w:r>
              <w:rPr>
                <w:rFonts w:ascii="Arial" w:hAnsi="Arial" w:cs="Arial"/>
                <w:sz w:val="20"/>
              </w:rPr>
              <w:t>ISO 1461</w:t>
            </w:r>
          </w:p>
        </w:tc>
        <w:tc>
          <w:tcPr>
            <w:tcW w:type="dxa" w:w="6236"/>
          </w:tcPr>
          <w:p>
            <w:pPr>
              <w:bidi/>
              <w:jc w:val="right"/>
            </w:pPr>
            <w:r/>
            <w:r>
              <w:rPr>
                <w:rFonts w:ascii="Arial" w:hAnsi="Arial" w:cs="Arial"/>
                <w:sz w:val="20"/>
              </w:rPr>
              <w:t>الجلفنة بالغمس الساخن للأعمدة الفولاذية</w:t>
            </w:r>
          </w:p>
        </w:tc>
      </w:tr>
      <w:tr>
        <w:tc>
          <w:tcPr>
            <w:tcW w:type="dxa" w:w="2835"/>
          </w:tcPr>
          <w:p>
            <w:pPr>
              <w:bidi/>
              <w:jc w:val="right"/>
            </w:pPr>
            <w:r/>
            <w:r>
              <w:rPr>
                <w:rFonts w:ascii="Arial" w:hAnsi="Arial" w:cs="Arial"/>
                <w:sz w:val="20"/>
              </w:rPr>
              <w:t>ASTM A123</w:t>
            </w:r>
          </w:p>
        </w:tc>
        <w:tc>
          <w:tcPr>
            <w:tcW w:type="dxa" w:w="6236"/>
          </w:tcPr>
          <w:p>
            <w:pPr>
              <w:bidi/>
              <w:jc w:val="right"/>
            </w:pPr>
            <w:r/>
            <w:r>
              <w:rPr>
                <w:rFonts w:ascii="Arial" w:hAnsi="Arial" w:cs="Arial"/>
                <w:sz w:val="20"/>
              </w:rPr>
              <w:t>بديل مرجعي للجلفنة بالغمس الساخن</w:t>
            </w:r>
          </w:p>
        </w:tc>
      </w:tr>
    </w:tbl>
    <w:p>
      <w:pPr>
        <w:bidi/>
        <w:spacing w:after="40"/>
        <w:jc w:val="right"/>
      </w:pPr>
      <w:r>
        <w:rPr>
          <w:rFonts w:ascii="Arial" w:hAnsi="Arial" w:cs="Arial"/>
          <w:b w:val="0"/>
          <w:sz w:val="12"/>
        </w:rPr>
      </w:r>
    </w:p>
    <w:p>
      <w:pPr>
        <w:bidi/>
        <w:spacing w:after="160"/>
        <w:jc w:val="right"/>
        <w:pBdr>
          <w:bottom w:val="single" w:sz="8" w:color="1F3864"/>
        </w:pBdr>
      </w:pPr>
      <w:r>
        <w:rPr>
          <w:rFonts w:ascii="Arial" w:hAnsi="Arial" w:cs="Arial"/>
          <w:b/>
          <w:color w:val="1F3864"/>
          <w:sz w:val="28"/>
        </w:rPr>
        <w:t>3. متطلبات كشافات LED</w:t>
      </w:r>
    </w:p>
    <w:tbl>
      <w:tblPr>
        <w:tblStyle w:val="TableGrid"/>
        <w:tblW w:type="auto" w:w="0"/>
        <w:jc w:val="center"/>
        <w:tblLook w:firstColumn="1" w:firstRow="1" w:lastColumn="0" w:lastRow="0" w:noHBand="0" w:noVBand="1" w:val="04A0"/>
      </w:tblPr>
      <w:tblGrid>
        <w:gridCol w:w="3324"/>
        <w:gridCol w:w="3324"/>
        <w:gridCol w:w="3324"/>
      </w:tblGrid>
      <w:tr>
        <w:tc>
          <w:tcPr>
            <w:tcW w:type="dxa" w:w="2835"/>
            <w:shd w:fill="2E75B6"/>
          </w:tcPr>
          <w:p>
            <w:pPr>
              <w:bidi/>
              <w:jc w:val="right"/>
            </w:pPr>
            <w:r/>
            <w:r>
              <w:rPr>
                <w:rFonts w:ascii="Arial" w:hAnsi="Arial" w:cs="Arial"/>
                <w:b/>
                <w:color w:val="FFFFFF"/>
                <w:sz w:val="20"/>
              </w:rPr>
              <w:t>البند</w:t>
            </w:r>
          </w:p>
        </w:tc>
        <w:tc>
          <w:tcPr>
            <w:tcW w:type="dxa" w:w="4819"/>
            <w:shd w:fill="2E75B6"/>
          </w:tcPr>
          <w:p>
            <w:pPr>
              <w:bidi/>
              <w:jc w:val="right"/>
            </w:pPr>
            <w:r/>
            <w:r>
              <w:rPr>
                <w:rFonts w:ascii="Arial" w:hAnsi="Arial" w:cs="Arial"/>
                <w:b/>
                <w:color w:val="FFFFFF"/>
                <w:sz w:val="20"/>
              </w:rPr>
              <w:t>الحد الأدنى المطلوب</w:t>
            </w:r>
          </w:p>
        </w:tc>
        <w:tc>
          <w:tcPr>
            <w:tcW w:type="dxa" w:w="3118"/>
            <w:shd w:fill="2E75B6"/>
          </w:tcPr>
          <w:p>
            <w:pPr>
              <w:bidi/>
              <w:jc w:val="right"/>
            </w:pPr>
            <w:r/>
            <w:r>
              <w:rPr>
                <w:rFonts w:ascii="Arial" w:hAnsi="Arial" w:cs="Arial"/>
                <w:b/>
                <w:color w:val="FFFFFF"/>
                <w:sz w:val="20"/>
              </w:rPr>
              <w:t>ملاحظة</w:t>
            </w:r>
          </w:p>
        </w:tc>
      </w:tr>
      <w:tr>
        <w:tc>
          <w:tcPr>
            <w:tcW w:type="dxa" w:w="2835"/>
          </w:tcPr>
          <w:p>
            <w:pPr>
              <w:bidi/>
              <w:jc w:val="right"/>
            </w:pPr>
            <w:r/>
            <w:r>
              <w:rPr>
                <w:rFonts w:ascii="Arial" w:hAnsi="Arial" w:cs="Arial"/>
                <w:sz w:val="20"/>
              </w:rPr>
              <w:t>كفاءة الكشاف</w:t>
            </w:r>
          </w:p>
        </w:tc>
        <w:tc>
          <w:tcPr>
            <w:tcW w:type="dxa" w:w="4819"/>
          </w:tcPr>
          <w:p>
            <w:pPr>
              <w:bidi/>
              <w:jc w:val="right"/>
            </w:pPr>
            <w:r/>
            <w:r>
              <w:rPr>
                <w:rFonts w:ascii="Arial" w:hAnsi="Arial" w:cs="Arial"/>
                <w:sz w:val="20"/>
              </w:rPr>
              <w:t>130 لومن/واط أو أعلى</w:t>
            </w:r>
          </w:p>
        </w:tc>
        <w:tc>
          <w:tcPr>
            <w:tcW w:type="dxa" w:w="3118"/>
          </w:tcPr>
          <w:p>
            <w:pPr>
              <w:bidi/>
              <w:jc w:val="right"/>
            </w:pPr>
            <w:r/>
            <w:r>
              <w:rPr>
                <w:rFonts w:ascii="Arial" w:hAnsi="Arial" w:cs="Arial"/>
                <w:sz w:val="20"/>
              </w:rPr>
              <w:t>تُقاس عند ظروف التشغيل الكاملة</w:t>
            </w:r>
          </w:p>
        </w:tc>
      </w:tr>
      <w:tr>
        <w:tc>
          <w:tcPr>
            <w:tcW w:type="dxa" w:w="2835"/>
          </w:tcPr>
          <w:p>
            <w:pPr>
              <w:bidi/>
              <w:jc w:val="right"/>
            </w:pPr>
            <w:r/>
            <w:r>
              <w:rPr>
                <w:rFonts w:ascii="Arial" w:hAnsi="Arial" w:cs="Arial"/>
                <w:sz w:val="20"/>
              </w:rPr>
              <w:t>درجة حرارة اللون (CCT)</w:t>
            </w:r>
          </w:p>
        </w:tc>
        <w:tc>
          <w:tcPr>
            <w:tcW w:type="dxa" w:w="4819"/>
          </w:tcPr>
          <w:p>
            <w:pPr>
              <w:bidi/>
              <w:jc w:val="right"/>
            </w:pPr>
            <w:r/>
            <w:r>
              <w:rPr>
                <w:rFonts w:ascii="Arial" w:hAnsi="Arial" w:cs="Arial"/>
                <w:sz w:val="20"/>
              </w:rPr>
              <w:t>3000 كلفن للطرق السكنية، 4000 كلفن للطرق الرئيسية</w:t>
            </w:r>
          </w:p>
        </w:tc>
        <w:tc>
          <w:tcPr>
            <w:tcW w:type="dxa" w:w="3118"/>
          </w:tcPr>
          <w:p>
            <w:pPr>
              <w:bidi/>
              <w:jc w:val="right"/>
            </w:pPr>
            <w:r/>
            <w:r>
              <w:rPr>
                <w:rFonts w:ascii="Arial" w:hAnsi="Arial" w:cs="Arial"/>
                <w:sz w:val="20"/>
              </w:rPr>
              <w:t>يُوحَّد اللون داخل المشروع الواحد</w:t>
            </w:r>
          </w:p>
        </w:tc>
      </w:tr>
      <w:tr>
        <w:tc>
          <w:tcPr>
            <w:tcW w:type="dxa" w:w="2835"/>
          </w:tcPr>
          <w:p>
            <w:pPr>
              <w:bidi/>
              <w:jc w:val="right"/>
            </w:pPr>
            <w:r/>
            <w:r>
              <w:rPr>
                <w:rFonts w:ascii="Arial" w:hAnsi="Arial" w:cs="Arial"/>
                <w:sz w:val="20"/>
              </w:rPr>
              <w:t>معامل تجسيد اللون (CRI)</w:t>
            </w:r>
          </w:p>
        </w:tc>
        <w:tc>
          <w:tcPr>
            <w:tcW w:type="dxa" w:w="4819"/>
          </w:tcPr>
          <w:p>
            <w:pPr>
              <w:bidi/>
              <w:jc w:val="right"/>
            </w:pPr>
            <w:r/>
            <w:r>
              <w:rPr>
                <w:rFonts w:ascii="Arial" w:hAnsi="Arial" w:cs="Arial"/>
                <w:sz w:val="20"/>
              </w:rPr>
              <w:t>70 أو أعلى</w:t>
            </w:r>
          </w:p>
        </w:tc>
        <w:tc>
          <w:tcPr>
            <w:tcW w:type="dxa" w:w="3118"/>
          </w:tcPr>
          <w:p>
            <w:pPr>
              <w:bidi/>
              <w:jc w:val="right"/>
            </w:pPr>
            <w:r/>
            <w:r>
              <w:rPr>
                <w:rFonts w:ascii="Arial" w:hAnsi="Arial" w:cs="Arial"/>
                <w:sz w:val="20"/>
              </w:rPr>
              <w:t>—</w:t>
            </w:r>
          </w:p>
        </w:tc>
      </w:tr>
      <w:tr>
        <w:tc>
          <w:tcPr>
            <w:tcW w:type="dxa" w:w="2835"/>
          </w:tcPr>
          <w:p>
            <w:pPr>
              <w:bidi/>
              <w:jc w:val="right"/>
            </w:pPr>
            <w:r/>
            <w:r>
              <w:rPr>
                <w:rFonts w:ascii="Arial" w:hAnsi="Arial" w:cs="Arial"/>
                <w:sz w:val="20"/>
              </w:rPr>
              <w:t>درجة الحماية</w:t>
            </w:r>
          </w:p>
        </w:tc>
        <w:tc>
          <w:tcPr>
            <w:tcW w:type="dxa" w:w="4819"/>
          </w:tcPr>
          <w:p>
            <w:pPr>
              <w:bidi/>
              <w:jc w:val="right"/>
            </w:pPr>
            <w:r/>
            <w:r>
              <w:rPr>
                <w:rFonts w:ascii="Arial" w:hAnsi="Arial" w:cs="Arial"/>
                <w:sz w:val="20"/>
              </w:rPr>
              <w:t>IP66 للكشاف، IK08 لمقاومة الصدمات</w:t>
            </w:r>
          </w:p>
        </w:tc>
        <w:tc>
          <w:tcPr>
            <w:tcW w:type="dxa" w:w="3118"/>
          </w:tcPr>
          <w:p>
            <w:pPr>
              <w:bidi/>
              <w:jc w:val="right"/>
            </w:pPr>
            <w:r/>
            <w:r>
              <w:rPr>
                <w:rFonts w:ascii="Arial" w:hAnsi="Arial" w:cs="Arial"/>
                <w:sz w:val="20"/>
              </w:rPr>
              <w:t>إلزامي</w:t>
            </w:r>
          </w:p>
        </w:tc>
      </w:tr>
      <w:tr>
        <w:tc>
          <w:tcPr>
            <w:tcW w:type="dxa" w:w="2835"/>
          </w:tcPr>
          <w:p>
            <w:pPr>
              <w:bidi/>
              <w:jc w:val="right"/>
            </w:pPr>
            <w:r/>
            <w:r>
              <w:rPr>
                <w:rFonts w:ascii="Arial" w:hAnsi="Arial" w:cs="Arial"/>
                <w:sz w:val="20"/>
              </w:rPr>
              <w:t>مقاومة الحرارة المحيطة</w:t>
            </w:r>
          </w:p>
        </w:tc>
        <w:tc>
          <w:tcPr>
            <w:tcW w:type="dxa" w:w="4819"/>
          </w:tcPr>
          <w:p>
            <w:pPr>
              <w:bidi/>
              <w:jc w:val="right"/>
            </w:pPr>
            <w:r/>
            <w:r>
              <w:rPr>
                <w:rFonts w:ascii="Arial" w:hAnsi="Arial" w:cs="Arial"/>
                <w:sz w:val="20"/>
              </w:rPr>
              <w:t>حتى 50 درجة مئوية</w:t>
            </w:r>
          </w:p>
        </w:tc>
        <w:tc>
          <w:tcPr>
            <w:tcW w:type="dxa" w:w="3118"/>
          </w:tcPr>
          <w:p>
            <w:pPr>
              <w:bidi/>
              <w:jc w:val="right"/>
            </w:pPr>
            <w:r/>
            <w:r>
              <w:rPr>
                <w:rFonts w:ascii="Arial" w:hAnsi="Arial" w:cs="Arial"/>
                <w:sz w:val="20"/>
              </w:rPr>
              <w:t>مع عدم تجاوز حد الحرارة المعلن</w:t>
            </w:r>
          </w:p>
        </w:tc>
      </w:tr>
      <w:tr>
        <w:tc>
          <w:tcPr>
            <w:tcW w:type="dxa" w:w="2835"/>
          </w:tcPr>
          <w:p>
            <w:pPr>
              <w:bidi/>
              <w:jc w:val="right"/>
            </w:pPr>
            <w:r/>
            <w:r>
              <w:rPr>
                <w:rFonts w:ascii="Arial" w:hAnsi="Arial" w:cs="Arial"/>
                <w:sz w:val="20"/>
              </w:rPr>
              <w:t>حماية من اندفاعات الجهد</w:t>
            </w:r>
          </w:p>
        </w:tc>
        <w:tc>
          <w:tcPr>
            <w:tcW w:type="dxa" w:w="4819"/>
          </w:tcPr>
          <w:p>
            <w:pPr>
              <w:bidi/>
              <w:jc w:val="right"/>
            </w:pPr>
            <w:r/>
            <w:r>
              <w:rPr>
                <w:rFonts w:ascii="Arial" w:hAnsi="Arial" w:cs="Arial"/>
                <w:sz w:val="20"/>
              </w:rPr>
              <w:t>10 كيلوفولت على الأقل</w:t>
            </w:r>
          </w:p>
        </w:tc>
        <w:tc>
          <w:tcPr>
            <w:tcW w:type="dxa" w:w="3118"/>
          </w:tcPr>
          <w:p>
            <w:pPr>
              <w:bidi/>
              <w:jc w:val="right"/>
            </w:pPr>
            <w:r/>
            <w:r>
              <w:rPr>
                <w:rFonts w:ascii="Arial" w:hAnsi="Arial" w:cs="Arial"/>
                <w:sz w:val="20"/>
              </w:rPr>
              <w:t>Surge Protection</w:t>
            </w:r>
          </w:p>
        </w:tc>
      </w:tr>
      <w:tr>
        <w:tc>
          <w:tcPr>
            <w:tcW w:type="dxa" w:w="2835"/>
          </w:tcPr>
          <w:p>
            <w:pPr>
              <w:bidi/>
              <w:jc w:val="right"/>
            </w:pPr>
            <w:r/>
            <w:r>
              <w:rPr>
                <w:rFonts w:ascii="Arial" w:hAnsi="Arial" w:cs="Arial"/>
                <w:sz w:val="20"/>
              </w:rPr>
              <w:t>معامل القدرة</w:t>
            </w:r>
          </w:p>
        </w:tc>
        <w:tc>
          <w:tcPr>
            <w:tcW w:type="dxa" w:w="4819"/>
          </w:tcPr>
          <w:p>
            <w:pPr>
              <w:bidi/>
              <w:jc w:val="right"/>
            </w:pPr>
            <w:r/>
            <w:r>
              <w:rPr>
                <w:rFonts w:ascii="Arial" w:hAnsi="Arial" w:cs="Arial"/>
                <w:sz w:val="20"/>
              </w:rPr>
              <w:t>0.9 أو أعلى</w:t>
            </w:r>
          </w:p>
        </w:tc>
        <w:tc>
          <w:tcPr>
            <w:tcW w:type="dxa" w:w="3118"/>
          </w:tcPr>
          <w:p>
            <w:pPr>
              <w:bidi/>
              <w:jc w:val="right"/>
            </w:pPr>
            <w:r/>
            <w:r>
              <w:rPr>
                <w:rFonts w:ascii="Arial" w:hAnsi="Arial" w:cs="Arial"/>
                <w:sz w:val="20"/>
              </w:rPr>
              <w:t>مع منع التسرب التوافقي</w:t>
            </w:r>
          </w:p>
        </w:tc>
      </w:tr>
      <w:tr>
        <w:tc>
          <w:tcPr>
            <w:tcW w:type="dxa" w:w="2835"/>
          </w:tcPr>
          <w:p>
            <w:pPr>
              <w:bidi/>
              <w:jc w:val="right"/>
            </w:pPr>
            <w:r/>
            <w:r>
              <w:rPr>
                <w:rFonts w:ascii="Arial" w:hAnsi="Arial" w:cs="Arial"/>
                <w:sz w:val="20"/>
              </w:rPr>
              <w:t>العمر التشغيلي</w:t>
            </w:r>
          </w:p>
        </w:tc>
        <w:tc>
          <w:tcPr>
            <w:tcW w:type="dxa" w:w="4819"/>
          </w:tcPr>
          <w:p>
            <w:pPr>
              <w:bidi/>
              <w:jc w:val="right"/>
            </w:pPr>
            <w:r/>
            <w:r>
              <w:rPr>
                <w:rFonts w:ascii="Arial" w:hAnsi="Arial" w:cs="Arial"/>
                <w:sz w:val="20"/>
              </w:rPr>
              <w:t>50,000 ساعة (L80B10) على الأقل</w:t>
            </w:r>
          </w:p>
        </w:tc>
        <w:tc>
          <w:tcPr>
            <w:tcW w:type="dxa" w:w="3118"/>
          </w:tcPr>
          <w:p>
            <w:pPr>
              <w:bidi/>
              <w:jc w:val="right"/>
            </w:pPr>
            <w:r/>
            <w:r>
              <w:rPr>
                <w:rFonts w:ascii="Arial" w:hAnsi="Arial" w:cs="Arial"/>
                <w:sz w:val="20"/>
              </w:rPr>
              <w:t>وفق IEC 62717</w:t>
            </w:r>
          </w:p>
        </w:tc>
      </w:tr>
      <w:tr>
        <w:tc>
          <w:tcPr>
            <w:tcW w:type="dxa" w:w="2835"/>
          </w:tcPr>
          <w:p>
            <w:pPr>
              <w:bidi/>
              <w:jc w:val="right"/>
            </w:pPr>
            <w:r/>
            <w:r>
              <w:rPr>
                <w:rFonts w:ascii="Arial" w:hAnsi="Arial" w:cs="Arial"/>
                <w:sz w:val="20"/>
              </w:rPr>
              <w:t>الضمان</w:t>
            </w:r>
          </w:p>
        </w:tc>
        <w:tc>
          <w:tcPr>
            <w:tcW w:type="dxa" w:w="4819"/>
          </w:tcPr>
          <w:p>
            <w:pPr>
              <w:bidi/>
              <w:jc w:val="right"/>
            </w:pPr>
            <w:r/>
            <w:r>
              <w:rPr>
                <w:rFonts w:ascii="Arial" w:hAnsi="Arial" w:cs="Arial"/>
                <w:sz w:val="20"/>
              </w:rPr>
              <w:t>5 سنوات على الكشاف ومصدر الضوء</w:t>
            </w:r>
          </w:p>
        </w:tc>
        <w:tc>
          <w:tcPr>
            <w:tcW w:type="dxa" w:w="3118"/>
          </w:tcPr>
          <w:p>
            <w:pPr>
              <w:bidi/>
              <w:jc w:val="right"/>
            </w:pPr>
            <w:r/>
            <w:r>
              <w:rPr>
                <w:rFonts w:ascii="Arial" w:hAnsi="Arial" w:cs="Arial"/>
                <w:sz w:val="20"/>
              </w:rPr>
              <w:t>يشمل الإحلال لا الإصلاح</w:t>
            </w:r>
          </w:p>
        </w:tc>
      </w:tr>
    </w:tbl>
    <w:p>
      <w:pPr>
        <w:bidi/>
        <w:spacing w:after="40"/>
        <w:jc w:val="right"/>
      </w:pPr>
      <w:r>
        <w:rPr>
          <w:rFonts w:ascii="Arial" w:hAnsi="Arial" w:cs="Arial"/>
          <w:b w:val="0"/>
          <w:sz w:val="12"/>
        </w:rPr>
      </w:r>
    </w:p>
    <w:p>
      <w:pPr>
        <w:bidi/>
        <w:spacing w:after="160"/>
        <w:jc w:val="right"/>
        <w:pBdr>
          <w:bottom w:val="single" w:sz="8" w:color="1F3864"/>
        </w:pBdr>
      </w:pPr>
      <w:r>
        <w:rPr>
          <w:rFonts w:ascii="Arial" w:hAnsi="Arial" w:cs="Arial"/>
          <w:b/>
          <w:color w:val="1F3864"/>
          <w:sz w:val="28"/>
        </w:rPr>
        <w:t>4. متطلبات العمود والتأسيس</w:t>
      </w:r>
    </w:p>
    <w:tbl>
      <w:tblPr>
        <w:tblStyle w:val="TableGrid"/>
        <w:tblW w:type="auto" w:w="0"/>
        <w:jc w:val="center"/>
        <w:tblLook w:firstColumn="1" w:firstRow="1" w:lastColumn="0" w:lastRow="0" w:noHBand="0" w:noVBand="1" w:val="04A0"/>
      </w:tblPr>
      <w:tblGrid>
        <w:gridCol w:w="4986"/>
        <w:gridCol w:w="4986"/>
      </w:tblGrid>
      <w:tr>
        <w:tc>
          <w:tcPr>
            <w:tcW w:type="dxa" w:w="2268"/>
            <w:shd w:fill="2E75B6"/>
          </w:tcPr>
          <w:p>
            <w:pPr>
              <w:bidi/>
              <w:jc w:val="right"/>
            </w:pPr>
            <w:r/>
            <w:r>
              <w:rPr>
                <w:rFonts w:ascii="Arial" w:hAnsi="Arial" w:cs="Arial"/>
                <w:b/>
                <w:color w:val="FFFFFF"/>
                <w:sz w:val="20"/>
              </w:rPr>
              <w:t>البند</w:t>
            </w:r>
          </w:p>
        </w:tc>
        <w:tc>
          <w:tcPr>
            <w:tcW w:type="dxa" w:w="8504"/>
            <w:shd w:fill="2E75B6"/>
          </w:tcPr>
          <w:p>
            <w:pPr>
              <w:bidi/>
              <w:jc w:val="right"/>
            </w:pPr>
            <w:r/>
            <w:r>
              <w:rPr>
                <w:rFonts w:ascii="Arial" w:hAnsi="Arial" w:cs="Arial"/>
                <w:b/>
                <w:color w:val="FFFFFF"/>
                <w:sz w:val="20"/>
              </w:rPr>
              <w:t>المواصفة</w:t>
            </w:r>
          </w:p>
        </w:tc>
      </w:tr>
      <w:tr>
        <w:tc>
          <w:tcPr>
            <w:tcW w:type="dxa" w:w="2268"/>
          </w:tcPr>
          <w:p>
            <w:pPr>
              <w:bidi/>
              <w:jc w:val="right"/>
            </w:pPr>
            <w:r/>
            <w:r>
              <w:rPr>
                <w:rFonts w:ascii="Arial" w:hAnsi="Arial" w:cs="Arial"/>
                <w:sz w:val="20"/>
              </w:rPr>
              <w:t>المادة</w:t>
            </w:r>
          </w:p>
        </w:tc>
        <w:tc>
          <w:tcPr>
            <w:tcW w:type="dxa" w:w="8504"/>
          </w:tcPr>
          <w:p>
            <w:pPr>
              <w:bidi/>
              <w:jc w:val="right"/>
            </w:pPr>
            <w:r/>
            <w:r>
              <w:rPr>
                <w:rFonts w:ascii="Arial" w:hAnsi="Arial" w:cs="Arial"/>
                <w:sz w:val="20"/>
              </w:rPr>
              <w:t>فولاذ مجلفن بالغمس الساخن وفق ISO 1461، سماكة جلفنة لا تقل عن 70 ميكرون</w:t>
            </w:r>
          </w:p>
        </w:tc>
      </w:tr>
      <w:tr>
        <w:tc>
          <w:tcPr>
            <w:tcW w:type="dxa" w:w="2268"/>
          </w:tcPr>
          <w:p>
            <w:pPr>
              <w:bidi/>
              <w:jc w:val="right"/>
            </w:pPr>
            <w:r/>
            <w:r>
              <w:rPr>
                <w:rFonts w:ascii="Arial" w:hAnsi="Arial" w:cs="Arial"/>
                <w:sz w:val="20"/>
              </w:rPr>
              <w:t>الارتفاع</w:t>
            </w:r>
          </w:p>
        </w:tc>
        <w:tc>
          <w:tcPr>
            <w:tcW w:type="dxa" w:w="8504"/>
          </w:tcPr>
          <w:p>
            <w:pPr>
              <w:bidi/>
              <w:jc w:val="right"/>
            </w:pPr>
            <w:r/>
            <w:r>
              <w:rPr>
                <w:rFonts w:ascii="Arial" w:hAnsi="Arial" w:cs="Arial"/>
                <w:sz w:val="20"/>
              </w:rPr>
              <w:t>9-12 م للطرق الرئيسية، 6-8 م للطرق الفرعية والداخلية، 5-6 م للمناطق السكنية</w:t>
            </w:r>
          </w:p>
        </w:tc>
      </w:tr>
      <w:tr>
        <w:tc>
          <w:tcPr>
            <w:tcW w:type="dxa" w:w="2268"/>
          </w:tcPr>
          <w:p>
            <w:pPr>
              <w:bidi/>
              <w:jc w:val="right"/>
            </w:pPr>
            <w:r/>
            <w:r>
              <w:rPr>
                <w:rFonts w:ascii="Arial" w:hAnsi="Arial" w:cs="Arial"/>
                <w:sz w:val="20"/>
              </w:rPr>
              <w:t>الطفرة (Base Plate)</w:t>
            </w:r>
          </w:p>
        </w:tc>
        <w:tc>
          <w:tcPr>
            <w:tcW w:type="dxa" w:w="8504"/>
          </w:tcPr>
          <w:p>
            <w:pPr>
              <w:bidi/>
              <w:jc w:val="right"/>
            </w:pPr>
            <w:r/>
            <w:r>
              <w:rPr>
                <w:rFonts w:ascii="Arial" w:hAnsi="Arial" w:cs="Arial"/>
                <w:sz w:val="20"/>
              </w:rPr>
              <w:t>مطابقة لحساب الأحمال، مع صواميل مقاومة للفك</w:t>
            </w:r>
          </w:p>
        </w:tc>
      </w:tr>
      <w:tr>
        <w:tc>
          <w:tcPr>
            <w:tcW w:type="dxa" w:w="2268"/>
          </w:tcPr>
          <w:p>
            <w:pPr>
              <w:bidi/>
              <w:jc w:val="right"/>
            </w:pPr>
            <w:r/>
            <w:r>
              <w:rPr>
                <w:rFonts w:ascii="Arial" w:hAnsi="Arial" w:cs="Arial"/>
                <w:sz w:val="20"/>
              </w:rPr>
              <w:t>التأسيس</w:t>
            </w:r>
          </w:p>
        </w:tc>
        <w:tc>
          <w:tcPr>
            <w:tcW w:type="dxa" w:w="8504"/>
          </w:tcPr>
          <w:p>
            <w:pPr>
              <w:bidi/>
              <w:jc w:val="right"/>
            </w:pPr>
            <w:r/>
            <w:r>
              <w:rPr>
                <w:rFonts w:ascii="Arial" w:hAnsi="Arial" w:cs="Arial"/>
                <w:sz w:val="20"/>
              </w:rPr>
              <w:t>قاعدة خرسانية بالأبعاد التسليحية المعتمدة، مع قناة كابلات وغطاء تفتيش</w:t>
            </w:r>
          </w:p>
        </w:tc>
      </w:tr>
      <w:tr>
        <w:tc>
          <w:tcPr>
            <w:tcW w:type="dxa" w:w="2268"/>
          </w:tcPr>
          <w:p>
            <w:pPr>
              <w:bidi/>
              <w:jc w:val="right"/>
            </w:pPr>
            <w:r/>
            <w:r>
              <w:rPr>
                <w:rFonts w:ascii="Arial" w:hAnsi="Arial" w:cs="Arial"/>
                <w:sz w:val="20"/>
              </w:rPr>
              <w:t>مقاومة الرياح</w:t>
            </w:r>
          </w:p>
        </w:tc>
        <w:tc>
          <w:tcPr>
            <w:tcW w:type="dxa" w:w="8504"/>
          </w:tcPr>
          <w:p>
            <w:pPr>
              <w:bidi/>
              <w:jc w:val="right"/>
            </w:pPr>
            <w:r/>
            <w:r>
              <w:rPr>
                <w:rFonts w:ascii="Arial" w:hAnsi="Arial" w:cs="Arial"/>
                <w:sz w:val="20"/>
              </w:rPr>
              <w:t>مصمّمة لسرعة الرياح القياسية المعتمدة في السلطنة</w:t>
            </w:r>
          </w:p>
        </w:tc>
      </w:tr>
      <w:tr>
        <w:tc>
          <w:tcPr>
            <w:tcW w:type="dxa" w:w="2268"/>
          </w:tcPr>
          <w:p>
            <w:pPr>
              <w:bidi/>
              <w:jc w:val="right"/>
            </w:pPr>
            <w:r/>
            <w:r>
              <w:rPr>
                <w:rFonts w:ascii="Arial" w:hAnsi="Arial" w:cs="Arial"/>
                <w:sz w:val="20"/>
              </w:rPr>
              <w:t>باب الخدمة</w:t>
            </w:r>
          </w:p>
        </w:tc>
        <w:tc>
          <w:tcPr>
            <w:tcW w:type="dxa" w:w="8504"/>
          </w:tcPr>
          <w:p>
            <w:pPr>
              <w:bidi/>
              <w:jc w:val="right"/>
            </w:pPr>
            <w:r/>
            <w:r>
              <w:rPr>
                <w:rFonts w:ascii="Arial" w:hAnsi="Arial" w:cs="Arial"/>
                <w:sz w:val="20"/>
              </w:rPr>
              <w:t>بغطاء محكم مع قفل، ويُربط بسلك أرضي</w:t>
            </w:r>
          </w:p>
        </w:tc>
      </w:tr>
      <w:tr>
        <w:tc>
          <w:tcPr>
            <w:tcW w:type="dxa" w:w="2268"/>
          </w:tcPr>
          <w:p>
            <w:pPr>
              <w:bidi/>
              <w:jc w:val="right"/>
            </w:pPr>
            <w:r/>
            <w:r>
              <w:rPr>
                <w:rFonts w:ascii="Arial" w:hAnsi="Arial" w:cs="Arial"/>
                <w:sz w:val="20"/>
              </w:rPr>
              <w:t>الإحداثيات</w:t>
            </w:r>
          </w:p>
        </w:tc>
        <w:tc>
          <w:tcPr>
            <w:tcW w:type="dxa" w:w="8504"/>
          </w:tcPr>
          <w:p>
            <w:pPr>
              <w:bidi/>
              <w:jc w:val="right"/>
            </w:pPr>
            <w:r/>
            <w:r>
              <w:rPr>
                <w:rFonts w:ascii="Arial" w:hAnsi="Arial" w:cs="Arial"/>
                <w:sz w:val="20"/>
              </w:rPr>
              <w:t>تُسجَّل إحداثيات كل عمود عند التسليم لتغذية سجل الحصر</w:t>
            </w:r>
          </w:p>
        </w:tc>
      </w:tr>
    </w:tbl>
    <w:p>
      <w:pPr>
        <w:bidi/>
        <w:spacing w:after="160"/>
        <w:jc w:val="right"/>
        <w:pBdr>
          <w:bottom w:val="single" w:sz="8" w:color="1F3864"/>
        </w:pBdr>
      </w:pPr>
      <w:r>
        <w:rPr>
          <w:rFonts w:ascii="Arial" w:hAnsi="Arial" w:cs="Arial"/>
          <w:b/>
          <w:color w:val="1F3864"/>
          <w:sz w:val="28"/>
        </w:rPr>
        <w:t>5. التغذية الكهربائية والتحكم</w:t>
      </w:r>
    </w:p>
    <w:p>
      <w:pPr>
        <w:bidi/>
        <w:spacing w:after="120"/>
        <w:jc w:val="right"/>
      </w:pPr>
      <w:r>
        <w:rPr>
          <w:rFonts w:ascii="Arial" w:hAnsi="Arial" w:cs="Arial"/>
          <w:b w:val="0"/>
          <w:sz w:val="22"/>
        </w:rPr>
        <w:t>يجب أن تكون التغذية عبر كابلات أرضية محمية داخل مواسير، مع لوحة توزيع مستقلة لكل مقطع بما يتوافق مع حساب الأحمال ومسافات الحماية. ويُفضّل تركيب مؤقتات فلكية (Astronomical Timer) أو أنظمة تحكم مركزية تعمل بنظام خفض القدرة في الساعات المتأخرة لتوفير الطاقة دون التأثير على السلامة المرورية.</w:t>
      </w:r>
    </w:p>
    <w:p>
      <w:pPr>
        <w:bidi/>
        <w:spacing w:after="120"/>
        <w:jc w:val="right"/>
      </w:pPr>
      <w:r>
        <w:rPr>
          <w:rFonts w:ascii="Arial" w:hAnsi="Arial" w:cs="Arial"/>
          <w:b w:val="0"/>
          <w:sz w:val="22"/>
        </w:rPr>
        <w:t>تُعزل الدوائر بأجهزة حماية تفاضلية مناسبة، ويُوثّق مخطط الدوائر الكهربائية (As-Built) قبل التسليم، مع لوحات تعريف على كل لوحة توزيع.</w:t>
      </w:r>
    </w:p>
    <w:p>
      <w:pPr>
        <w:bidi/>
        <w:spacing w:after="160"/>
        <w:jc w:val="right"/>
        <w:pBdr>
          <w:bottom w:val="single" w:sz="8" w:color="1F3864"/>
        </w:pBdr>
      </w:pPr>
      <w:r>
        <w:rPr>
          <w:rFonts w:ascii="Arial" w:hAnsi="Arial" w:cs="Arial"/>
          <w:b/>
          <w:color w:val="1F3864"/>
          <w:sz w:val="28"/>
        </w:rPr>
        <w:t>6. متطلبات التنفيذ والاختبار</w:t>
      </w:r>
    </w:p>
    <w:tbl>
      <w:tblPr>
        <w:tblStyle w:val="TableGrid"/>
        <w:tblW w:type="auto" w:w="0"/>
        <w:jc w:val="center"/>
        <w:tblLook w:firstColumn="1" w:firstRow="1" w:lastColumn="0" w:lastRow="0" w:noHBand="0" w:noVBand="1" w:val="04A0"/>
      </w:tblPr>
      <w:tblGrid>
        <w:gridCol w:w="3324"/>
        <w:gridCol w:w="3324"/>
        <w:gridCol w:w="3324"/>
      </w:tblGrid>
      <w:tr>
        <w:tc>
          <w:tcPr>
            <w:tcW w:type="dxa" w:w="3402"/>
            <w:shd w:fill="2E75B6"/>
          </w:tcPr>
          <w:p>
            <w:pPr>
              <w:bidi/>
              <w:jc w:val="right"/>
            </w:pPr>
            <w:r/>
            <w:r>
              <w:rPr>
                <w:rFonts w:ascii="Arial" w:hAnsi="Arial" w:cs="Arial"/>
                <w:b/>
                <w:color w:val="FFFFFF"/>
                <w:sz w:val="20"/>
              </w:rPr>
              <w:t>الاختبار</w:t>
            </w:r>
          </w:p>
        </w:tc>
        <w:tc>
          <w:tcPr>
            <w:tcW w:type="dxa" w:w="4252"/>
            <w:shd w:fill="2E75B6"/>
          </w:tcPr>
          <w:p>
            <w:pPr>
              <w:bidi/>
              <w:jc w:val="right"/>
            </w:pPr>
            <w:r/>
            <w:r>
              <w:rPr>
                <w:rFonts w:ascii="Arial" w:hAnsi="Arial" w:cs="Arial"/>
                <w:b/>
                <w:color w:val="FFFFFF"/>
                <w:sz w:val="20"/>
              </w:rPr>
              <w:t>المعيار</w:t>
            </w:r>
          </w:p>
        </w:tc>
        <w:tc>
          <w:tcPr>
            <w:tcW w:type="dxa" w:w="3118"/>
            <w:shd w:fill="2E75B6"/>
          </w:tcPr>
          <w:p>
            <w:pPr>
              <w:bidi/>
              <w:jc w:val="right"/>
            </w:pPr>
            <w:r/>
            <w:r>
              <w:rPr>
                <w:rFonts w:ascii="Arial" w:hAnsi="Arial" w:cs="Arial"/>
                <w:b/>
                <w:color w:val="FFFFFF"/>
                <w:sz w:val="20"/>
              </w:rPr>
              <w:t>التوثيق المطلوب</w:t>
            </w:r>
          </w:p>
        </w:tc>
      </w:tr>
      <w:tr>
        <w:tc>
          <w:tcPr>
            <w:tcW w:type="dxa" w:w="3402"/>
          </w:tcPr>
          <w:p>
            <w:pPr>
              <w:bidi/>
              <w:jc w:val="right"/>
            </w:pPr>
            <w:r/>
            <w:r>
              <w:rPr>
                <w:rFonts w:ascii="Arial" w:hAnsi="Arial" w:cs="Arial"/>
                <w:sz w:val="20"/>
              </w:rPr>
              <w:t>قياس مستوى الإضاءة (لوكس)</w:t>
            </w:r>
          </w:p>
        </w:tc>
        <w:tc>
          <w:tcPr>
            <w:tcW w:type="dxa" w:w="4252"/>
          </w:tcPr>
          <w:p>
            <w:pPr>
              <w:bidi/>
              <w:jc w:val="right"/>
            </w:pPr>
            <w:r/>
            <w:r>
              <w:rPr>
                <w:rFonts w:ascii="Arial" w:hAnsi="Arial" w:cs="Arial"/>
                <w:sz w:val="20"/>
              </w:rPr>
              <w:t>ضمن الحدود الدنيا المحددة لتصنيف الطريق</w:t>
            </w:r>
          </w:p>
        </w:tc>
        <w:tc>
          <w:tcPr>
            <w:tcW w:type="dxa" w:w="3118"/>
          </w:tcPr>
          <w:p>
            <w:pPr>
              <w:bidi/>
              <w:jc w:val="right"/>
            </w:pPr>
            <w:r/>
            <w:r>
              <w:rPr>
                <w:rFonts w:ascii="Arial" w:hAnsi="Arial" w:cs="Arial"/>
                <w:sz w:val="20"/>
              </w:rPr>
              <w:t>تقرير قياس ميداني بشبكة نقاط</w:t>
            </w:r>
          </w:p>
        </w:tc>
      </w:tr>
      <w:tr>
        <w:tc>
          <w:tcPr>
            <w:tcW w:type="dxa" w:w="3402"/>
          </w:tcPr>
          <w:p>
            <w:pPr>
              <w:bidi/>
              <w:jc w:val="right"/>
            </w:pPr>
            <w:r/>
            <w:r>
              <w:rPr>
                <w:rFonts w:ascii="Arial" w:hAnsi="Arial" w:cs="Arial"/>
                <w:sz w:val="20"/>
              </w:rPr>
              <w:t>انتظام الإضاءة</w:t>
            </w:r>
          </w:p>
        </w:tc>
        <w:tc>
          <w:tcPr>
            <w:tcW w:type="dxa" w:w="4252"/>
          </w:tcPr>
          <w:p>
            <w:pPr>
              <w:bidi/>
              <w:jc w:val="right"/>
            </w:pPr>
            <w:r/>
            <w:r>
              <w:rPr>
                <w:rFonts w:ascii="Arial" w:hAnsi="Arial" w:cs="Arial"/>
                <w:sz w:val="20"/>
              </w:rPr>
              <w:t>نسبة الانتظام وفق EN 13201</w:t>
            </w:r>
          </w:p>
        </w:tc>
        <w:tc>
          <w:tcPr>
            <w:tcW w:type="dxa" w:w="3118"/>
          </w:tcPr>
          <w:p>
            <w:pPr>
              <w:bidi/>
              <w:jc w:val="right"/>
            </w:pPr>
            <w:r/>
            <w:r>
              <w:rPr>
                <w:rFonts w:ascii="Arial" w:hAnsi="Arial" w:cs="Arial"/>
                <w:sz w:val="20"/>
              </w:rPr>
              <w:t>تقرير حسابي معتمد</w:t>
            </w:r>
          </w:p>
        </w:tc>
      </w:tr>
      <w:tr>
        <w:tc>
          <w:tcPr>
            <w:tcW w:type="dxa" w:w="3402"/>
          </w:tcPr>
          <w:p>
            <w:pPr>
              <w:bidi/>
              <w:jc w:val="right"/>
            </w:pPr>
            <w:r/>
            <w:r>
              <w:rPr>
                <w:rFonts w:ascii="Arial" w:hAnsi="Arial" w:cs="Arial"/>
                <w:sz w:val="20"/>
              </w:rPr>
              <w:t>اختبار العزل والاستمرارية</w:t>
            </w:r>
          </w:p>
        </w:tc>
        <w:tc>
          <w:tcPr>
            <w:tcW w:type="dxa" w:w="4252"/>
          </w:tcPr>
          <w:p>
            <w:pPr>
              <w:bidi/>
              <w:jc w:val="right"/>
            </w:pPr>
            <w:r/>
            <w:r>
              <w:rPr>
                <w:rFonts w:ascii="Arial" w:hAnsi="Arial" w:cs="Arial"/>
                <w:sz w:val="20"/>
              </w:rPr>
              <w:t>قيم مقاومة العزل المطلوبة</w:t>
            </w:r>
          </w:p>
        </w:tc>
        <w:tc>
          <w:tcPr>
            <w:tcW w:type="dxa" w:w="3118"/>
          </w:tcPr>
          <w:p>
            <w:pPr>
              <w:bidi/>
              <w:jc w:val="right"/>
            </w:pPr>
            <w:r/>
            <w:r>
              <w:rPr>
                <w:rFonts w:ascii="Arial" w:hAnsi="Arial" w:cs="Arial"/>
                <w:sz w:val="20"/>
              </w:rPr>
              <w:t>محضر اختبار موقّع</w:t>
            </w:r>
          </w:p>
        </w:tc>
      </w:tr>
      <w:tr>
        <w:tc>
          <w:tcPr>
            <w:tcW w:type="dxa" w:w="3402"/>
          </w:tcPr>
          <w:p>
            <w:pPr>
              <w:bidi/>
              <w:jc w:val="right"/>
            </w:pPr>
            <w:r/>
            <w:r>
              <w:rPr>
                <w:rFonts w:ascii="Arial" w:hAnsi="Arial" w:cs="Arial"/>
                <w:sz w:val="20"/>
              </w:rPr>
              <w:t>اختبار التشغيل الكامل</w:t>
            </w:r>
          </w:p>
        </w:tc>
        <w:tc>
          <w:tcPr>
            <w:tcW w:type="dxa" w:w="4252"/>
          </w:tcPr>
          <w:p>
            <w:pPr>
              <w:bidi/>
              <w:jc w:val="right"/>
            </w:pPr>
            <w:r/>
            <w:r>
              <w:rPr>
                <w:rFonts w:ascii="Arial" w:hAnsi="Arial" w:cs="Arial"/>
                <w:sz w:val="20"/>
              </w:rPr>
              <w:t>24 ساعة تشغيل متواصل دون أعطال</w:t>
            </w:r>
          </w:p>
        </w:tc>
        <w:tc>
          <w:tcPr>
            <w:tcW w:type="dxa" w:w="3118"/>
          </w:tcPr>
          <w:p>
            <w:pPr>
              <w:bidi/>
              <w:jc w:val="right"/>
            </w:pPr>
            <w:r/>
            <w:r>
              <w:rPr>
                <w:rFonts w:ascii="Arial" w:hAnsi="Arial" w:cs="Arial"/>
                <w:sz w:val="20"/>
              </w:rPr>
              <w:t>محضر تشغيل</w:t>
            </w:r>
          </w:p>
        </w:tc>
      </w:tr>
      <w:tr>
        <w:tc>
          <w:tcPr>
            <w:tcW w:type="dxa" w:w="3402"/>
          </w:tcPr>
          <w:p>
            <w:pPr>
              <w:bidi/>
              <w:jc w:val="right"/>
            </w:pPr>
            <w:r/>
            <w:r>
              <w:rPr>
                <w:rFonts w:ascii="Arial" w:hAnsi="Arial" w:cs="Arial"/>
                <w:sz w:val="20"/>
              </w:rPr>
              <w:t>مطابقة المواد</w:t>
            </w:r>
          </w:p>
        </w:tc>
        <w:tc>
          <w:tcPr>
            <w:tcW w:type="dxa" w:w="4252"/>
          </w:tcPr>
          <w:p>
            <w:pPr>
              <w:bidi/>
              <w:jc w:val="right"/>
            </w:pPr>
            <w:r/>
            <w:r>
              <w:rPr>
                <w:rFonts w:ascii="Arial" w:hAnsi="Arial" w:cs="Arial"/>
                <w:sz w:val="20"/>
              </w:rPr>
              <w:t>شهادات مطابقة لكل بند</w:t>
            </w:r>
          </w:p>
        </w:tc>
        <w:tc>
          <w:tcPr>
            <w:tcW w:type="dxa" w:w="3118"/>
          </w:tcPr>
          <w:p>
            <w:pPr>
              <w:bidi/>
              <w:jc w:val="right"/>
            </w:pPr>
            <w:r/>
            <w:r>
              <w:rPr>
                <w:rFonts w:ascii="Arial" w:hAnsi="Arial" w:cs="Arial"/>
                <w:sz w:val="20"/>
              </w:rPr>
              <w:t>ملف المواد (Submittals)</w:t>
            </w:r>
          </w:p>
        </w:tc>
      </w:tr>
    </w:tbl>
    <w:p>
      <w:pPr>
        <w:bidi/>
        <w:spacing w:after="160"/>
        <w:jc w:val="right"/>
        <w:pBdr>
          <w:bottom w:val="single" w:sz="8" w:color="1F3864"/>
        </w:pBdr>
      </w:pPr>
      <w:r>
        <w:rPr>
          <w:rFonts w:ascii="Arial" w:hAnsi="Arial" w:cs="Arial"/>
          <w:b/>
          <w:color w:val="1F3864"/>
          <w:sz w:val="28"/>
        </w:rPr>
        <w:t>7. الصيانة والضمان</w:t>
      </w:r>
    </w:p>
    <w:p>
      <w:pPr>
        <w:bidi/>
        <w:spacing w:after="120"/>
        <w:jc w:val="right"/>
      </w:pPr>
      <w:r>
        <w:rPr>
          <w:rFonts w:ascii="Arial" w:hAnsi="Arial" w:cs="Arial"/>
          <w:b w:val="0"/>
          <w:sz w:val="22"/>
        </w:rPr>
        <w:t>يُسلَّم المشروع مع خطة صيانة وقائية سنوية تشمل تنظيف الكشافات وفحص الوصلات وقياس الأداء الضوئي، وسجل رقمي لكل عمود يُربط بسجل الحصر في المجلد (02). ولا تُقبل الأعمال النهائية قبل استلام سجل الأعطال والضمانات المكتوبة من المورّد والمقاول.</w:t>
      </w:r>
    </w:p>
    <w:p>
      <w:pPr>
        <w:bidi/>
        <w:spacing w:after="160"/>
        <w:jc w:val="right"/>
        <w:pBdr>
          <w:bottom w:val="single" w:sz="8" w:color="1F3864"/>
        </w:pBdr>
      </w:pPr>
      <w:r>
        <w:rPr>
          <w:rFonts w:ascii="Arial" w:hAnsi="Arial" w:cs="Arial"/>
          <w:b/>
          <w:color w:val="1F3864"/>
          <w:sz w:val="28"/>
        </w:rPr>
        <w:t>8. قائمة تحقق القبول (Checklist)</w:t>
      </w:r>
    </w:p>
    <w:tbl>
      <w:tblPr>
        <w:tblStyle w:val="TableGrid"/>
        <w:tblW w:type="auto" w:w="0"/>
        <w:jc w:val="center"/>
        <w:tblLook w:firstColumn="1" w:firstRow="1" w:lastColumn="0" w:lastRow="0" w:noHBand="0" w:noVBand="1" w:val="04A0"/>
      </w:tblPr>
      <w:tblGrid>
        <w:gridCol w:w="3324"/>
        <w:gridCol w:w="3324"/>
        <w:gridCol w:w="3324"/>
      </w:tblGrid>
      <w:tr>
        <w:tc>
          <w:tcPr>
            <w:tcW w:type="dxa" w:w="850"/>
            <w:shd w:fill="2E75B6"/>
          </w:tcPr>
          <w:p>
            <w:pPr>
              <w:bidi/>
              <w:jc w:val="right"/>
            </w:pPr>
            <w:r/>
            <w:r>
              <w:rPr>
                <w:rFonts w:ascii="Arial" w:hAnsi="Arial" w:cs="Arial"/>
                <w:b/>
                <w:color w:val="FFFFFF"/>
                <w:sz w:val="20"/>
              </w:rPr>
              <w:t>م</w:t>
            </w:r>
          </w:p>
        </w:tc>
        <w:tc>
          <w:tcPr>
            <w:tcW w:type="dxa" w:w="7087"/>
            <w:shd w:fill="2E75B6"/>
          </w:tcPr>
          <w:p>
            <w:pPr>
              <w:bidi/>
              <w:jc w:val="right"/>
            </w:pPr>
            <w:r/>
            <w:r>
              <w:rPr>
                <w:rFonts w:ascii="Arial" w:hAnsi="Arial" w:cs="Arial"/>
                <w:b/>
                <w:color w:val="FFFFFF"/>
                <w:sz w:val="20"/>
              </w:rPr>
              <w:t>البند</w:t>
            </w:r>
          </w:p>
        </w:tc>
        <w:tc>
          <w:tcPr>
            <w:tcW w:type="dxa" w:w="1701"/>
            <w:shd w:fill="2E75B6"/>
          </w:tcPr>
          <w:p>
            <w:pPr>
              <w:bidi/>
              <w:jc w:val="right"/>
            </w:pPr>
            <w:r/>
            <w:r>
              <w:rPr>
                <w:rFonts w:ascii="Arial" w:hAnsi="Arial" w:cs="Arial"/>
                <w:b/>
                <w:color w:val="FFFFFF"/>
                <w:sz w:val="20"/>
              </w:rPr>
              <w:t>نعم/لا</w:t>
            </w:r>
          </w:p>
        </w:tc>
      </w:tr>
      <w:tr>
        <w:tc>
          <w:tcPr>
            <w:tcW w:type="dxa" w:w="850"/>
          </w:tcPr>
          <w:p>
            <w:pPr>
              <w:bidi/>
              <w:jc w:val="right"/>
            </w:pPr>
            <w:r/>
            <w:r>
              <w:rPr>
                <w:rFonts w:ascii="Arial" w:hAnsi="Arial" w:cs="Arial"/>
                <w:sz w:val="20"/>
              </w:rPr>
              <w:t>1</w:t>
            </w:r>
          </w:p>
        </w:tc>
        <w:tc>
          <w:tcPr>
            <w:tcW w:type="dxa" w:w="7087"/>
          </w:tcPr>
          <w:p>
            <w:pPr>
              <w:bidi/>
              <w:jc w:val="right"/>
            </w:pPr>
            <w:r/>
            <w:r>
              <w:rPr>
                <w:rFonts w:ascii="Arial" w:hAnsi="Arial" w:cs="Arial"/>
                <w:sz w:val="20"/>
              </w:rPr>
              <w:t>مطابقة نوع الكشاف للقدرة واللون والأداء المطلوب</w:t>
            </w:r>
          </w:p>
        </w:tc>
        <w:tc>
          <w:tcPr>
            <w:tcW w:type="dxa" w:w="1701"/>
          </w:tcPr>
          <w:p>
            <w:pPr>
              <w:bidi/>
              <w:jc w:val="right"/>
            </w:pPr>
            <w:r/>
            <w:r>
              <w:rPr>
                <w:rFonts w:ascii="Arial" w:hAnsi="Arial" w:cs="Arial"/>
                <w:sz w:val="20"/>
              </w:rPr>
            </w:r>
          </w:p>
        </w:tc>
      </w:tr>
      <w:tr>
        <w:tc>
          <w:tcPr>
            <w:tcW w:type="dxa" w:w="850"/>
          </w:tcPr>
          <w:p>
            <w:pPr>
              <w:bidi/>
              <w:jc w:val="right"/>
            </w:pPr>
            <w:r/>
            <w:r>
              <w:rPr>
                <w:rFonts w:ascii="Arial" w:hAnsi="Arial" w:cs="Arial"/>
                <w:sz w:val="20"/>
              </w:rPr>
              <w:t>2</w:t>
            </w:r>
          </w:p>
        </w:tc>
        <w:tc>
          <w:tcPr>
            <w:tcW w:type="dxa" w:w="7087"/>
          </w:tcPr>
          <w:p>
            <w:pPr>
              <w:bidi/>
              <w:jc w:val="right"/>
            </w:pPr>
            <w:r/>
            <w:r>
              <w:rPr>
                <w:rFonts w:ascii="Arial" w:hAnsi="Arial" w:cs="Arial"/>
                <w:sz w:val="20"/>
              </w:rPr>
              <w:t>شهادات المطابقة والضمان لجميع المواد</w:t>
            </w:r>
          </w:p>
        </w:tc>
        <w:tc>
          <w:tcPr>
            <w:tcW w:type="dxa" w:w="1701"/>
          </w:tcPr>
          <w:p>
            <w:pPr>
              <w:bidi/>
              <w:jc w:val="right"/>
            </w:pPr>
            <w:r/>
            <w:r>
              <w:rPr>
                <w:rFonts w:ascii="Arial" w:hAnsi="Arial" w:cs="Arial"/>
                <w:sz w:val="20"/>
              </w:rPr>
            </w:r>
          </w:p>
        </w:tc>
      </w:tr>
      <w:tr>
        <w:tc>
          <w:tcPr>
            <w:tcW w:type="dxa" w:w="850"/>
          </w:tcPr>
          <w:p>
            <w:pPr>
              <w:bidi/>
              <w:jc w:val="right"/>
            </w:pPr>
            <w:r/>
            <w:r>
              <w:rPr>
                <w:rFonts w:ascii="Arial" w:hAnsi="Arial" w:cs="Arial"/>
                <w:sz w:val="20"/>
              </w:rPr>
              <w:t>3</w:t>
            </w:r>
          </w:p>
        </w:tc>
        <w:tc>
          <w:tcPr>
            <w:tcW w:type="dxa" w:w="7087"/>
          </w:tcPr>
          <w:p>
            <w:pPr>
              <w:bidi/>
              <w:jc w:val="right"/>
            </w:pPr>
            <w:r/>
            <w:r>
              <w:rPr>
                <w:rFonts w:ascii="Arial" w:hAnsi="Arial" w:cs="Arial"/>
                <w:sz w:val="20"/>
              </w:rPr>
              <w:t>الجلفنة سليمة وغير متضررة عند التركيب</w:t>
            </w:r>
          </w:p>
        </w:tc>
        <w:tc>
          <w:tcPr>
            <w:tcW w:type="dxa" w:w="1701"/>
          </w:tcPr>
          <w:p>
            <w:pPr>
              <w:bidi/>
              <w:jc w:val="right"/>
            </w:pPr>
            <w:r/>
            <w:r>
              <w:rPr>
                <w:rFonts w:ascii="Arial" w:hAnsi="Arial" w:cs="Arial"/>
                <w:sz w:val="20"/>
              </w:rPr>
            </w:r>
          </w:p>
        </w:tc>
      </w:tr>
      <w:tr>
        <w:tc>
          <w:tcPr>
            <w:tcW w:type="dxa" w:w="850"/>
          </w:tcPr>
          <w:p>
            <w:pPr>
              <w:bidi/>
              <w:jc w:val="right"/>
            </w:pPr>
            <w:r/>
            <w:r>
              <w:rPr>
                <w:rFonts w:ascii="Arial" w:hAnsi="Arial" w:cs="Arial"/>
                <w:sz w:val="20"/>
              </w:rPr>
              <w:t>4</w:t>
            </w:r>
          </w:p>
        </w:tc>
        <w:tc>
          <w:tcPr>
            <w:tcW w:type="dxa" w:w="7087"/>
          </w:tcPr>
          <w:p>
            <w:pPr>
              <w:bidi/>
              <w:jc w:val="right"/>
            </w:pPr>
            <w:r/>
            <w:r>
              <w:rPr>
                <w:rFonts w:ascii="Arial" w:hAnsi="Arial" w:cs="Arial"/>
                <w:sz w:val="20"/>
              </w:rPr>
              <w:t>قياس مستوى الإضاءة والانتظام ضمن الحدود</w:t>
            </w:r>
          </w:p>
        </w:tc>
        <w:tc>
          <w:tcPr>
            <w:tcW w:type="dxa" w:w="1701"/>
          </w:tcPr>
          <w:p>
            <w:pPr>
              <w:bidi/>
              <w:jc w:val="right"/>
            </w:pPr>
            <w:r/>
            <w:r>
              <w:rPr>
                <w:rFonts w:ascii="Arial" w:hAnsi="Arial" w:cs="Arial"/>
                <w:sz w:val="20"/>
              </w:rPr>
            </w:r>
          </w:p>
        </w:tc>
      </w:tr>
      <w:tr>
        <w:tc>
          <w:tcPr>
            <w:tcW w:type="dxa" w:w="850"/>
          </w:tcPr>
          <w:p>
            <w:pPr>
              <w:bidi/>
              <w:jc w:val="right"/>
            </w:pPr>
            <w:r/>
            <w:r>
              <w:rPr>
                <w:rFonts w:ascii="Arial" w:hAnsi="Arial" w:cs="Arial"/>
                <w:sz w:val="20"/>
              </w:rPr>
              <w:t>5</w:t>
            </w:r>
          </w:p>
        </w:tc>
        <w:tc>
          <w:tcPr>
            <w:tcW w:type="dxa" w:w="7087"/>
          </w:tcPr>
          <w:p>
            <w:pPr>
              <w:bidi/>
              <w:jc w:val="right"/>
            </w:pPr>
            <w:r/>
            <w:r>
              <w:rPr>
                <w:rFonts w:ascii="Arial" w:hAnsi="Arial" w:cs="Arial"/>
                <w:sz w:val="20"/>
              </w:rPr>
              <w:t>تسجيل إحداثيات الأعمدة وأرقامها في سجل الحصر</w:t>
            </w:r>
          </w:p>
        </w:tc>
        <w:tc>
          <w:tcPr>
            <w:tcW w:type="dxa" w:w="1701"/>
          </w:tcPr>
          <w:p>
            <w:pPr>
              <w:bidi/>
              <w:jc w:val="right"/>
            </w:pPr>
            <w:r/>
            <w:r>
              <w:rPr>
                <w:rFonts w:ascii="Arial" w:hAnsi="Arial" w:cs="Arial"/>
                <w:sz w:val="20"/>
              </w:rPr>
            </w:r>
          </w:p>
        </w:tc>
      </w:tr>
      <w:tr>
        <w:tc>
          <w:tcPr>
            <w:tcW w:type="dxa" w:w="850"/>
          </w:tcPr>
          <w:p>
            <w:pPr>
              <w:bidi/>
              <w:jc w:val="right"/>
            </w:pPr>
            <w:r/>
            <w:r>
              <w:rPr>
                <w:rFonts w:ascii="Arial" w:hAnsi="Arial" w:cs="Arial"/>
                <w:sz w:val="20"/>
              </w:rPr>
              <w:t>6</w:t>
            </w:r>
          </w:p>
        </w:tc>
        <w:tc>
          <w:tcPr>
            <w:tcW w:type="dxa" w:w="7087"/>
          </w:tcPr>
          <w:p>
            <w:pPr>
              <w:bidi/>
              <w:jc w:val="right"/>
            </w:pPr>
            <w:r/>
            <w:r>
              <w:rPr>
                <w:rFonts w:ascii="Arial" w:hAnsi="Arial" w:cs="Arial"/>
                <w:sz w:val="20"/>
              </w:rPr>
              <w:t>مخططات As-Built ولوحات التعريف مكتملة</w:t>
            </w:r>
          </w:p>
        </w:tc>
        <w:tc>
          <w:tcPr>
            <w:tcW w:type="dxa" w:w="1701"/>
          </w:tcPr>
          <w:p>
            <w:pPr>
              <w:bidi/>
              <w:jc w:val="right"/>
            </w:pPr>
            <w:r/>
            <w:r>
              <w:rPr>
                <w:rFonts w:ascii="Arial" w:hAnsi="Arial" w:cs="Arial"/>
                <w:sz w:val="20"/>
              </w:rPr>
            </w:r>
          </w:p>
        </w:tc>
      </w:tr>
      <w:tr>
        <w:tc>
          <w:tcPr>
            <w:tcW w:type="dxa" w:w="850"/>
          </w:tcPr>
          <w:p>
            <w:pPr>
              <w:bidi/>
              <w:jc w:val="right"/>
            </w:pPr>
            <w:r/>
            <w:r>
              <w:rPr>
                <w:rFonts w:ascii="Arial" w:hAnsi="Arial" w:cs="Arial"/>
                <w:sz w:val="20"/>
              </w:rPr>
              <w:t>7</w:t>
            </w:r>
          </w:p>
        </w:tc>
        <w:tc>
          <w:tcPr>
            <w:tcW w:type="dxa" w:w="7087"/>
          </w:tcPr>
          <w:p>
            <w:pPr>
              <w:bidi/>
              <w:jc w:val="right"/>
            </w:pPr>
            <w:r/>
            <w:r>
              <w:rPr>
                <w:rFonts w:ascii="Arial" w:hAnsi="Arial" w:cs="Arial"/>
                <w:sz w:val="20"/>
              </w:rPr>
              <w:t>خطة الصيانة السنوية وسجل الأعطال مستلم</w:t>
            </w:r>
          </w:p>
        </w:tc>
        <w:tc>
          <w:tcPr>
            <w:tcW w:type="dxa" w:w="1701"/>
          </w:tcPr>
          <w:p>
            <w:pPr>
              <w:bidi/>
              <w:jc w:val="right"/>
            </w:pPr>
            <w:r/>
            <w:r>
              <w:rPr>
                <w:rFonts w:ascii="Arial" w:hAnsi="Arial" w:cs="Arial"/>
                <w:sz w:val="20"/>
              </w:rPr>
            </w:r>
          </w:p>
        </w:tc>
      </w:tr>
    </w:tbl>
    <w:p>
      <w:pPr>
        <w:bidi/>
        <w:spacing w:after="160"/>
        <w:jc w:val="right"/>
        <w:pBdr>
          <w:bottom w:val="single" w:sz="8" w:color="1F3864"/>
        </w:pBdr>
      </w:pPr>
      <w:r>
        <w:rPr>
          <w:rFonts w:ascii="Arial" w:hAnsi="Arial" w:cs="Arial"/>
          <w:b/>
          <w:color w:val="1F3864"/>
          <w:sz w:val="28"/>
        </w:rPr>
        <w:t>9. ملاحظة على حالة المستند</w:t>
      </w:r>
    </w:p>
    <w:p>
      <w:pPr>
        <w:bidi/>
        <w:spacing w:after="120"/>
        <w:jc w:val="right"/>
      </w:pPr>
      <w:r>
        <w:rPr>
          <w:rFonts w:ascii="Arial" w:hAnsi="Arial" w:cs="Arial"/>
          <w:b w:val="0"/>
          <w:sz w:val="20"/>
        </w:rPr>
        <w:t>أُعدّ هذا المستند كإطار فني أولي للمشروع استنادًا إلى معايير إضاءة الطرق الدولية الشائعة، وحيث لم تتوفر نسخة رسمية من مواصفات البلدية داخل محفظة المشروع لم تُدرج أي أرقام إلزامية خاصة بها. يُرجى تزويد الفريق بالمواصفات المعتمدة رسميًا (إن وجدت) لتحديث هذا الملف وإلغاء أي بند يتعارض معها.</w:t>
      </w:r>
    </w:p>
    <w:p>
      <w:pPr>
        <w:bidi/>
        <w:spacing w:after="120"/>
        <w:jc w:val="right"/>
      </w:pPr>
      <w:r>
        <w:rPr>
          <w:rFonts w:ascii="Arial" w:hAnsi="Arial" w:cs="Arial"/>
          <w:b w:val="0"/>
          <w:color w:val="404040"/>
          <w:sz w:val="18"/>
        </w:rPr>
        <w:t>إعداد: فريق مشروع توزيع وتخطيط الإنارة — ولاية صحم | التاريخ: 20 أكتوبر 2026</w:t>
      </w:r>
    </w:p>
    <w:sectPr w:rsidR="00FC693F" w:rsidRPr="0006063C"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